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CBC1" w14:textId="77777777" w:rsidR="008C38C3" w:rsidRPr="005F3F23" w:rsidRDefault="008C38C3" w:rsidP="005F3F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8C38C3" w:rsidRPr="005F3F23" w14:paraId="68DED4DD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73916781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  <w:r w:rsidRPr="005F3F23">
              <w:rPr>
                <w:rFonts w:asciiTheme="minorHAnsi" w:eastAsia="FreeSerif" w:hAnsiTheme="minorHAnsi" w:cstheme="minorHAnsi"/>
                <w:noProof/>
                <w:color w:val="666666"/>
                <w:sz w:val="24"/>
                <w:szCs w:val="24"/>
              </w:rPr>
              <w:drawing>
                <wp:inline distT="0" distB="0" distL="0" distR="0" wp14:anchorId="05890A12" wp14:editId="755411AE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C3CA924" w14:textId="77777777" w:rsidR="008C38C3" w:rsidRPr="005F3F23" w:rsidRDefault="008C38C3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2E31857F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smallCaps/>
                <w:color w:val="666666"/>
                <w:sz w:val="24"/>
                <w:szCs w:val="24"/>
              </w:rPr>
            </w:pPr>
            <w:r w:rsidRPr="005F3F23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24"/>
                <w:szCs w:val="24"/>
              </w:rPr>
              <w:drawing>
                <wp:inline distT="0" distB="0" distL="0" distR="0" wp14:anchorId="35372DF1" wp14:editId="20EA362B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DB348D" w14:textId="77777777" w:rsidR="008C38C3" w:rsidRPr="005F3F23" w:rsidRDefault="008C38C3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smallCaps/>
                <w:color w:val="666666"/>
                <w:sz w:val="24"/>
                <w:szCs w:val="24"/>
              </w:rPr>
            </w:pPr>
          </w:p>
          <w:p w14:paraId="407BCFC7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  <w:r w:rsidRPr="005F3F23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24"/>
                <w:szCs w:val="24"/>
              </w:rPr>
              <w:drawing>
                <wp:inline distT="0" distB="0" distL="0" distR="0" wp14:anchorId="542CCB43" wp14:editId="557EB9A8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8C3" w:rsidRPr="005F3F23" w14:paraId="3E093B7C" w14:textId="77777777">
        <w:tc>
          <w:tcPr>
            <w:tcW w:w="115" w:type="dxa"/>
            <w:shd w:val="clear" w:color="auto" w:fill="auto"/>
          </w:tcPr>
          <w:p w14:paraId="47991EBE" w14:textId="77777777" w:rsidR="008C38C3" w:rsidRPr="005F3F23" w:rsidRDefault="008C38C3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583D2D8C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3F2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5F3F2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>Toscana  IS</w:t>
            </w:r>
            <w:proofErr w:type="gramEnd"/>
            <w:r w:rsidRPr="005F3F2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>0059 – ISO9001</w:t>
            </w:r>
          </w:p>
        </w:tc>
      </w:tr>
      <w:tr w:rsidR="008C38C3" w:rsidRPr="005F3F23" w14:paraId="190746CE" w14:textId="77777777">
        <w:tc>
          <w:tcPr>
            <w:tcW w:w="115" w:type="dxa"/>
            <w:shd w:val="clear" w:color="auto" w:fill="auto"/>
          </w:tcPr>
          <w:p w14:paraId="033BE5E8" w14:textId="77777777" w:rsidR="008C38C3" w:rsidRPr="005F3F23" w:rsidRDefault="008C38C3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2BEFB14D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3F2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5719D69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3F2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e-mail: </w:t>
            </w:r>
            <w:r w:rsidRPr="005F3F2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2B085BC" w14:textId="77777777" w:rsidR="008C38C3" w:rsidRPr="005F3F23" w:rsidRDefault="00000000" w:rsidP="005F3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3F2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PEC: </w:t>
            </w:r>
            <w:r w:rsidRPr="005F3F2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piis003007@pec.istruzione.it</w:t>
            </w:r>
          </w:p>
        </w:tc>
      </w:tr>
    </w:tbl>
    <w:p w14:paraId="47340794" w14:textId="77777777" w:rsidR="008C38C3" w:rsidRPr="005F3F23" w:rsidRDefault="008C38C3" w:rsidP="005F3F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13A231" w14:textId="730CA59E" w:rsidR="008C38C3" w:rsidRPr="00FE7084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5F3F23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PIANO DI LAVORO ANNUALE DEL DOCENTE A.S. </w:t>
      </w:r>
      <w:r w:rsidRPr="00FE7084">
        <w:rPr>
          <w:rFonts w:asciiTheme="minorHAnsi" w:eastAsia="Calibri" w:hAnsiTheme="minorHAnsi" w:cstheme="minorHAnsi"/>
          <w:b/>
          <w:sz w:val="24"/>
          <w:szCs w:val="24"/>
        </w:rPr>
        <w:t>202</w:t>
      </w:r>
      <w:r w:rsidR="00FE7084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Pr="00FE7084">
        <w:rPr>
          <w:rFonts w:asciiTheme="minorHAnsi" w:eastAsia="Calibri" w:hAnsiTheme="minorHAnsi" w:cstheme="minorHAnsi"/>
          <w:b/>
          <w:sz w:val="24"/>
          <w:szCs w:val="24"/>
        </w:rPr>
        <w:t>/2</w:t>
      </w:r>
      <w:r w:rsidR="00FE7084">
        <w:rPr>
          <w:rFonts w:asciiTheme="minorHAnsi" w:eastAsia="Calibri" w:hAnsiTheme="minorHAnsi" w:cstheme="minorHAnsi"/>
          <w:b/>
          <w:sz w:val="24"/>
          <w:szCs w:val="24"/>
        </w:rPr>
        <w:t>5</w:t>
      </w:r>
    </w:p>
    <w:p w14:paraId="1C4A20D5" w14:textId="77777777" w:rsidR="008C38C3" w:rsidRPr="00FE7084" w:rsidRDefault="008C38C3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eading=h.4muz54wz7ni7" w:colFirst="0" w:colLast="0"/>
      <w:bookmarkEnd w:id="1"/>
    </w:p>
    <w:p w14:paraId="62DA5ACD" w14:textId="21BE3713" w:rsidR="008C38C3" w:rsidRPr="00FE7084" w:rsidRDefault="00000000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2" w:name="_heading=h.1i4gvvmky6lf" w:colFirst="0" w:colLast="0"/>
      <w:bookmarkEnd w:id="2"/>
      <w:r w:rsidRPr="00FE7084">
        <w:rPr>
          <w:rFonts w:asciiTheme="minorHAnsi" w:eastAsia="Calibri" w:hAnsiTheme="minorHAnsi" w:cstheme="minorHAnsi"/>
          <w:b/>
          <w:sz w:val="24"/>
          <w:szCs w:val="24"/>
        </w:rPr>
        <w:t xml:space="preserve">Nome e cognome </w:t>
      </w:r>
      <w:r w:rsidR="006B1D1C" w:rsidRPr="00FE7084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FE7084">
        <w:rPr>
          <w:rFonts w:asciiTheme="minorHAnsi" w:eastAsia="Calibri" w:hAnsiTheme="minorHAnsi" w:cstheme="minorHAnsi"/>
          <w:b/>
          <w:sz w:val="24"/>
          <w:szCs w:val="24"/>
        </w:rPr>
        <w:t>ella docente</w:t>
      </w:r>
      <w:r w:rsidRPr="00FE7084">
        <w:rPr>
          <w:rFonts w:asciiTheme="minorHAnsi" w:eastAsia="Calibri" w:hAnsiTheme="minorHAnsi" w:cstheme="minorHAnsi"/>
          <w:sz w:val="24"/>
          <w:szCs w:val="24"/>
        </w:rPr>
        <w:t>:</w:t>
      </w:r>
      <w:r w:rsidR="006B1D1C" w:rsidRPr="00FE708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E7084">
        <w:rPr>
          <w:rFonts w:asciiTheme="minorHAnsi" w:eastAsia="Calibri" w:hAnsiTheme="minorHAnsi" w:cstheme="minorHAnsi"/>
          <w:sz w:val="24"/>
          <w:szCs w:val="24"/>
        </w:rPr>
        <w:t>Torchia Claudia</w:t>
      </w:r>
    </w:p>
    <w:p w14:paraId="6DDA58FD" w14:textId="77777777" w:rsidR="008C38C3" w:rsidRPr="00FE7084" w:rsidRDefault="008C38C3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_heading=h.jrsf0v17y9up" w:colFirst="0" w:colLast="0"/>
      <w:bookmarkEnd w:id="3"/>
    </w:p>
    <w:p w14:paraId="6C94DF0A" w14:textId="21BC3004" w:rsidR="008C38C3" w:rsidRPr="005F3F23" w:rsidRDefault="00000000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4" w:name="_heading=h.l4ln8tk5f5mi" w:colFirst="0" w:colLast="0"/>
      <w:bookmarkEnd w:id="4"/>
      <w:r w:rsidRPr="005F3F23">
        <w:rPr>
          <w:rFonts w:asciiTheme="minorHAnsi" w:eastAsia="Calibri" w:hAnsiTheme="minorHAnsi" w:cstheme="minorHAnsi"/>
          <w:b/>
          <w:sz w:val="24"/>
          <w:szCs w:val="24"/>
        </w:rPr>
        <w:t>Disciplina insegnata</w:t>
      </w:r>
      <w:r w:rsidRPr="005F3F23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6B1D1C" w:rsidRPr="005F3F23">
        <w:rPr>
          <w:rFonts w:asciiTheme="minorHAnsi" w:eastAsia="Calibri" w:hAnsiTheme="minorHAnsi" w:cstheme="minorHAnsi"/>
          <w:sz w:val="24"/>
          <w:szCs w:val="24"/>
        </w:rPr>
        <w:t>Diritto e economia</w:t>
      </w:r>
    </w:p>
    <w:p w14:paraId="263D69A9" w14:textId="77777777" w:rsidR="008C38C3" w:rsidRPr="005F3F23" w:rsidRDefault="008C38C3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5" w:name="_heading=h.kz53r8dcjmbb" w:colFirst="0" w:colLast="0"/>
      <w:bookmarkEnd w:id="5"/>
    </w:p>
    <w:p w14:paraId="65D7486A" w14:textId="0BB0D8F0" w:rsidR="006B1D1C" w:rsidRPr="00562413" w:rsidRDefault="00000000" w:rsidP="0056241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Libro di testo in uso</w:t>
      </w:r>
      <w:r w:rsidR="006B1D1C"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562413">
        <w:rPr>
          <w:rFonts w:asciiTheme="minorHAnsi" w:eastAsia="Calibri" w:hAnsiTheme="minorHAnsi" w:cstheme="minorHAnsi"/>
          <w:b/>
          <w:sz w:val="24"/>
          <w:szCs w:val="24"/>
        </w:rPr>
        <w:t>Primo comma. Corso di diritto ed economia. Volume unico. Francesco Faenza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="0056241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6B1D1C" w:rsidRPr="0056241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Editore</w:t>
      </w:r>
      <w:r w:rsidR="008E060D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:</w:t>
      </w:r>
      <w:r w:rsidR="006B1D1C" w:rsidRPr="0056241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Zanichelli</w:t>
      </w:r>
    </w:p>
    <w:p w14:paraId="1D0B48F2" w14:textId="0F0207CB" w:rsidR="008C38C3" w:rsidRPr="00562413" w:rsidRDefault="008C38C3" w:rsidP="005F3F2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14:paraId="1C171F8B" w14:textId="162709D9" w:rsidR="008C38C3" w:rsidRPr="005F3F23" w:rsidRDefault="00000000" w:rsidP="005F3F2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Classe e Sezione</w:t>
      </w:r>
      <w:r w:rsidR="006B1D1C"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6B1D1C" w:rsidRPr="005F3F23">
        <w:rPr>
          <w:rFonts w:asciiTheme="minorHAnsi" w:eastAsia="Calibri" w:hAnsiTheme="minorHAnsi" w:cstheme="minorHAnsi"/>
          <w:bCs/>
          <w:sz w:val="24"/>
          <w:szCs w:val="24"/>
        </w:rPr>
        <w:t>1^ A</w:t>
      </w:r>
    </w:p>
    <w:p w14:paraId="3E21DDA1" w14:textId="77777777" w:rsidR="008C38C3" w:rsidRPr="005F3F23" w:rsidRDefault="008C38C3" w:rsidP="005F3F23">
      <w:pPr>
        <w:keepNext/>
        <w:tabs>
          <w:tab w:val="left" w:pos="70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44043EE" w14:textId="2D1EEAEB" w:rsidR="008C38C3" w:rsidRPr="005F3F23" w:rsidRDefault="00000000" w:rsidP="005F3F2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Indirizzo di studio</w:t>
      </w:r>
      <w:r w:rsidR="006B1D1C"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: </w:t>
      </w:r>
      <w:r w:rsidR="006B1D1C" w:rsidRPr="005F3F23">
        <w:rPr>
          <w:rFonts w:asciiTheme="minorHAnsi" w:eastAsia="Calibri" w:hAnsiTheme="minorHAnsi" w:cstheme="minorHAnsi"/>
          <w:bCs/>
          <w:sz w:val="24"/>
          <w:szCs w:val="24"/>
        </w:rPr>
        <w:t>Costruzioni, ambiente e territorio</w:t>
      </w:r>
    </w:p>
    <w:p w14:paraId="1FDDBCF4" w14:textId="77777777" w:rsidR="008C38C3" w:rsidRPr="005F3F23" w:rsidRDefault="008C38C3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8A6ADDE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1. Competenze che si intendono sviluppare o traguardi di competenza</w:t>
      </w:r>
    </w:p>
    <w:p w14:paraId="48961106" w14:textId="7781C7A2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i/>
          <w:sz w:val="24"/>
          <w:szCs w:val="24"/>
        </w:rPr>
        <w:t>(fare riferimento alle Linee Guida e ai documenti dei dipartimenti)</w:t>
      </w:r>
    </w:p>
    <w:p w14:paraId="4C22FEA5" w14:textId="77777777" w:rsidR="003D75BD" w:rsidRPr="005F3F23" w:rsidRDefault="003D75BD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bookmarkStart w:id="6" w:name="_Hlk151839603"/>
      <w:r w:rsidRPr="005F3F23">
        <w:rPr>
          <w:rFonts w:asciiTheme="minorHAnsi" w:hAnsiTheme="minorHAnsi" w:cstheme="minorHAnsi"/>
          <w:sz w:val="24"/>
          <w:szCs w:val="24"/>
        </w:rPr>
        <w:t xml:space="preserve">Saper collocare l'esperienza personale in un sistema di regole fondate sul riconoscimento dei diritti garantiti dalla Costituzione. </w:t>
      </w:r>
      <w:r w:rsidRPr="005F3F23">
        <w:rPr>
          <w:rFonts w:asciiTheme="minorHAnsi" w:eastAsia="Calibri" w:hAnsiTheme="minorHAnsi" w:cstheme="minorHAnsi"/>
          <w:iCs/>
          <w:sz w:val="24"/>
          <w:szCs w:val="24"/>
        </w:rPr>
        <w:t>Conoscere il significato dell’ordinamento giuridico e comprendere l’importanza del rispetto delle regole. Acquisire competenze in materia di cittadinanza attiva. Conoscere i principi fondamentali della Costituzione italiana.</w:t>
      </w:r>
    </w:p>
    <w:p w14:paraId="758FE804" w14:textId="77777777" w:rsidR="003D75BD" w:rsidRPr="005F3F23" w:rsidRDefault="003D75BD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hAnsiTheme="minorHAnsi" w:cstheme="minorHAnsi"/>
          <w:sz w:val="24"/>
          <w:szCs w:val="24"/>
        </w:rPr>
        <w:t>Riconoscere le caratteristiche essenziali del sistema socio-economico per orientarsi nel tessuto produttivo del proprio territorio.</w:t>
      </w:r>
    </w:p>
    <w:bookmarkEnd w:id="6"/>
    <w:p w14:paraId="2CC4C6C2" w14:textId="77777777" w:rsidR="003D75BD" w:rsidRPr="005F3F23" w:rsidRDefault="003D75BD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hAnsiTheme="minorHAnsi" w:cstheme="minorHAnsi"/>
          <w:sz w:val="24"/>
          <w:szCs w:val="24"/>
        </w:rPr>
        <w:t>Per il conseguimento delle suddette competenze, si richiedono le conoscenze e le abilità di seguito elencate.</w:t>
      </w:r>
    </w:p>
    <w:p w14:paraId="4017DCAF" w14:textId="77777777" w:rsidR="008C38C3" w:rsidRPr="005F3F23" w:rsidRDefault="008C38C3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FF37893" w14:textId="1C47A82E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2. Descrizione di conoscenze e abilità, suddivise in percorsi didattici, evidenziando per ognuna quelle essenziali o minime</w:t>
      </w:r>
      <w:r w:rsidR="000B42FA" w:rsidRPr="005F3F23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5DC99672" w14:textId="77777777" w:rsidR="0077115C" w:rsidRPr="005F3F23" w:rsidRDefault="0077115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614B7CE0" w14:textId="48D486E4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F3F23">
        <w:rPr>
          <w:rFonts w:asciiTheme="minorHAnsi" w:eastAsia="Calibri" w:hAnsiTheme="minorHAnsi" w:cstheme="minorHAnsi"/>
          <w:bCs/>
          <w:sz w:val="24"/>
          <w:szCs w:val="24"/>
        </w:rPr>
        <w:t>N.b.</w:t>
      </w:r>
      <w:proofErr w:type="spellEnd"/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 Il programma che segue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può subire variazioni in itinere,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per inserimenti di argomenti che si rendessero opportuni e di interesse in un momento successivo alla presente redazione; può subire riduzioni 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p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er adeguarsi ai tempi rimanenti disponibili e all’andamento didattico della classe.</w:t>
      </w:r>
    </w:p>
    <w:p w14:paraId="28027DCF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2A13F47" w14:textId="2AAA781C" w:rsidR="006B1D1C" w:rsidRPr="00FA7BFD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Percorso 1 - </w:t>
      </w:r>
      <w:r w:rsidR="00FA7BFD" w:rsidRPr="00FA7BFD">
        <w:rPr>
          <w:rFonts w:asciiTheme="minorHAnsi" w:eastAsia="Calibri" w:hAnsiTheme="minorHAnsi" w:cstheme="minorHAnsi"/>
          <w:b/>
          <w:sz w:val="24"/>
          <w:szCs w:val="24"/>
        </w:rPr>
        <w:t>Che cosa è il diritto?</w:t>
      </w:r>
    </w:p>
    <w:p w14:paraId="7F05286F" w14:textId="47428915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 xml:space="preserve">1.1 </w:t>
      </w:r>
      <w:r w:rsidR="00FA7BFD" w:rsidRPr="00FA7BFD">
        <w:rPr>
          <w:rFonts w:asciiTheme="minorHAnsi" w:eastAsia="Calibri" w:hAnsiTheme="minorHAnsi" w:cstheme="minorHAnsi"/>
          <w:b/>
          <w:bCs/>
          <w:sz w:val="24"/>
          <w:szCs w:val="24"/>
        </w:rPr>
        <w:t>Il diritto e le norme</w:t>
      </w:r>
    </w:p>
    <w:p w14:paraId="03ED1986" w14:textId="1C668A3B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Conoscenze: conoscere il significato di ordinamento giuridico, i caratteri principali della norma giuridica, la loro validità</w:t>
      </w:r>
      <w:r w:rsidR="008E060D">
        <w:rPr>
          <w:rFonts w:asciiTheme="minorHAnsi" w:eastAsia="Calibri" w:hAnsiTheme="minorHAnsi" w:cstheme="minorHAnsi"/>
          <w:sz w:val="24"/>
          <w:szCs w:val="24"/>
        </w:rPr>
        <w:t>, c</w:t>
      </w:r>
      <w:r w:rsidRPr="005F3F23">
        <w:rPr>
          <w:rFonts w:asciiTheme="minorHAnsi" w:eastAsia="Calibri" w:hAnsiTheme="minorHAnsi" w:cstheme="minorHAnsi"/>
          <w:sz w:val="24"/>
          <w:szCs w:val="24"/>
        </w:rPr>
        <w:t>onoscere il rapporto giuridico.</w:t>
      </w:r>
    </w:p>
    <w:p w14:paraId="39F8E326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Abilità: distinguere tra norme sociali e norme giuridiche, tra rapporto giuridico e rapporto di fatto.</w:t>
      </w:r>
    </w:p>
    <w:p w14:paraId="1C2F0ED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Competenze: comprendere l’importanza delle norme giuridiche; comprendere la funzione della sanzione giuridica.</w:t>
      </w:r>
    </w:p>
    <w:p w14:paraId="5459D088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lastRenderedPageBreak/>
        <w:t>Obiettivi Minimi: comprendere l’importanza del diritto e la funzione della norma giuridica.</w:t>
      </w:r>
    </w:p>
    <w:p w14:paraId="14A1DD9B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0BF41E0" w14:textId="4E896850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1.2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FA7BFD">
        <w:rPr>
          <w:rFonts w:asciiTheme="minorHAnsi" w:eastAsia="Calibri" w:hAnsiTheme="minorHAnsi" w:cstheme="minorHAnsi"/>
          <w:b/>
          <w:sz w:val="24"/>
          <w:szCs w:val="24"/>
        </w:rPr>
        <w:t>Le fonti del diritto e</w:t>
      </w:r>
      <w:r w:rsidR="00FA7BFD" w:rsidRPr="00FA7BFD">
        <w:rPr>
          <w:rFonts w:asciiTheme="minorHAnsi" w:eastAsia="Calibri" w:hAnsiTheme="minorHAnsi" w:cstheme="minorHAnsi"/>
          <w:b/>
          <w:sz w:val="24"/>
          <w:szCs w:val="24"/>
        </w:rPr>
        <w:t xml:space="preserve"> l’ordinamento</w:t>
      </w:r>
      <w:r w:rsidRPr="00FA7BFD">
        <w:rPr>
          <w:rFonts w:asciiTheme="minorHAnsi" w:eastAsia="Calibri" w:hAnsiTheme="minorHAnsi" w:cstheme="minorHAnsi"/>
          <w:b/>
          <w:sz w:val="24"/>
          <w:szCs w:val="24"/>
        </w:rPr>
        <w:t xml:space="preserve"> giuridic</w:t>
      </w:r>
      <w:r w:rsidR="00FA7BFD" w:rsidRPr="00FA7BFD">
        <w:rPr>
          <w:rFonts w:asciiTheme="minorHAnsi" w:eastAsia="Calibri" w:hAnsiTheme="minorHAnsi" w:cstheme="minorHAnsi"/>
          <w:b/>
          <w:sz w:val="24"/>
          <w:szCs w:val="24"/>
        </w:rPr>
        <w:t>o</w:t>
      </w:r>
    </w:p>
    <w:p w14:paraId="644EFB8D" w14:textId="605E748D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le fonti del diritto, le fonti di produzione e il principio gerarchico che le ordina, l’efficacia delle norme giuridiche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45152D82" w14:textId="24D1C7A9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individuare fonti di produzione e fonti di cognizione; sapere ordinare le fonti secondo la gerarchia; sapere quando una legge entra in</w:t>
      </w:r>
      <w:r w:rsidR="008E060D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vigore e quando viene abrogata.</w:t>
      </w:r>
    </w:p>
    <w:p w14:paraId="587FB389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la funzione del principio di gerarchia delle fonti.</w:t>
      </w:r>
    </w:p>
    <w:p w14:paraId="36176A68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comprendere la necessità di stabilire un ordine tra le norme giuridiche.</w:t>
      </w:r>
    </w:p>
    <w:p w14:paraId="3B59F73E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56EC8BD" w14:textId="6EA5E223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Percorso 2- I soggetti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 xml:space="preserve"> e l’oggetto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del diritto</w:t>
      </w:r>
    </w:p>
    <w:p w14:paraId="0617AB84" w14:textId="74CC4C2C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2.1 </w:t>
      </w:r>
      <w:r w:rsidR="00FA7BFD" w:rsidRPr="00FA7BFD">
        <w:rPr>
          <w:rFonts w:asciiTheme="minorHAnsi" w:eastAsia="Calibri" w:hAnsiTheme="minorHAnsi" w:cstheme="minorHAnsi"/>
          <w:b/>
          <w:sz w:val="24"/>
          <w:szCs w:val="24"/>
        </w:rPr>
        <w:t>I soggetti del diritto</w:t>
      </w:r>
    </w:p>
    <w:p w14:paraId="551BAAE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le persone fisiche e le ipotesi di capacità giuridica e di agire; incapacità legale e naturale; luoghi e sedi delle persone fisiche.</w:t>
      </w:r>
    </w:p>
    <w:p w14:paraId="2178A32F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Abilità: distinguere capacità giuridica e capacità di agire; individuare cause di incapacità legale e naturale. </w:t>
      </w:r>
    </w:p>
    <w:p w14:paraId="2C190330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importanza di distinguere persone capaci da persone incapaci; conoscere funzione di interdizione e inabilitazione.</w:t>
      </w:r>
    </w:p>
    <w:p w14:paraId="569C1C5B" w14:textId="77E20945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Obiettivi minimi: comprendere 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l’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importanza della capacità giuridica e di agire della persona.</w:t>
      </w:r>
    </w:p>
    <w:p w14:paraId="3DF8B9AF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9F83443" w14:textId="146D7250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Percorso 3 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>–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 xml:space="preserve">Lo 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>Stato e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 xml:space="preserve"> la 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>Costituzione</w:t>
      </w:r>
    </w:p>
    <w:p w14:paraId="11F99EF9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3.1 Gli elementi costitutivi dello Stato</w:t>
      </w:r>
    </w:p>
    <w:p w14:paraId="30546583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gli elementi costitutivi dello Stato; conoscere i modi di acquisto della cittadinanza italiana ed europea.</w:t>
      </w:r>
    </w:p>
    <w:p w14:paraId="30C72F21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individuare gli elementi costitutivi dello Stato; sapere indicare i modi di acquisto della cittadinanza italiana ed europea.</w:t>
      </w:r>
    </w:p>
    <w:p w14:paraId="6467C4F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l’importanza dell’esercizio della sovranità popolare; riconoscere la funzione della cittadinanza.</w:t>
      </w:r>
    </w:p>
    <w:p w14:paraId="7BFC894D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Obiettivi minimi: riconoscere gli elementi costitutivi dello Stato, comprendere la funzione </w:t>
      </w:r>
    </w:p>
    <w:p w14:paraId="222C510D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fondamentale della sovranità, conoscere il significato di cittadinanza.</w:t>
      </w:r>
    </w:p>
    <w:p w14:paraId="192E1FC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3.2 Lo Stato e le sue forme</w:t>
      </w:r>
    </w:p>
    <w:p w14:paraId="1986477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Conoscenze: conoscere la forma di stato italiana con cenni agli altri modelli; conoscere la forma di governo italiana con cenni alle altre forme principali. </w:t>
      </w:r>
    </w:p>
    <w:p w14:paraId="4F70C48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distinguere forme di stato e forme di governo, sapere indicare le principali forme di stato; conoscere le caratteristiche di uno stato moderno.</w:t>
      </w:r>
    </w:p>
    <w:p w14:paraId="343115A9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riconoscere l’esistenza di diversi modelli di forme di stato e di forme di governo.</w:t>
      </w:r>
    </w:p>
    <w:p w14:paraId="5A18D653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riconoscere la forma di stato e la forma di governo italiana.</w:t>
      </w:r>
    </w:p>
    <w:p w14:paraId="05E31781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3.3 La Costituzione e i principi fondamentali.</w:t>
      </w:r>
    </w:p>
    <w:p w14:paraId="7409722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Conoscenze: conoscere la Costituzione italiana e la sua struttura; conoscere i principi fondamentali della Costituzione. </w:t>
      </w:r>
    </w:p>
    <w:p w14:paraId="296DF8AC" w14:textId="21E49174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riconoscere i principi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fondamentali della Costituzione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7AE9AD88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individuare i principi fondamentali della Costituzione; riconoscere il valore della Costituzione.</w:t>
      </w:r>
    </w:p>
    <w:p w14:paraId="71B32C72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essere in grado di individuare i principi fondamentali della Costituzione.</w:t>
      </w:r>
    </w:p>
    <w:p w14:paraId="01BCFCF1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3.4 I rapporti con gli altri Stati e le istituzioni internazionali</w:t>
      </w:r>
    </w:p>
    <w:p w14:paraId="4A404FD7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il diritto internazionale e le sue fonti; conoscere le principali organizzazioni internazionali: l’ONU e altre diverse organizzazioni internazionali.</w:t>
      </w:r>
    </w:p>
    <w:p w14:paraId="2043BDFB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riconoscere le fonti di diritto internazionale, sapere individuare le caratteristiche comuni delle organizzazioni internazionali.</w:t>
      </w:r>
    </w:p>
    <w:p w14:paraId="61DC0C9D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l’importanza delle relazioni con gli altri stati, comprendere il ruolo degli organismi internazionali.</w:t>
      </w:r>
    </w:p>
    <w:p w14:paraId="51DCD959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comprendere l’importanza delle relazioni con gli altri stati.</w:t>
      </w:r>
    </w:p>
    <w:p w14:paraId="208AFDE8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F3B6734" w14:textId="61B78098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Percorso 4 -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>La Costituzione: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>l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>ibertà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 xml:space="preserve">, 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>diritti e doveri</w:t>
      </w:r>
    </w:p>
    <w:p w14:paraId="74F2F906" w14:textId="6E1FD5D3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4.1 Diritti di libertà e doveri costituzionali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284851CB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i diritti e le libertà fondamentali; conoscere i doveri previsti dalla Costituzione.</w:t>
      </w:r>
    </w:p>
    <w:p w14:paraId="7976A0E6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individuare i diritti fondamentali, le libertà e i doveri costituzionali.</w:t>
      </w:r>
    </w:p>
    <w:p w14:paraId="570794AF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il valore dei diritti fondamentali; delle libertà individuali e di quelle collettive. Comprendere i doveri costituzionali.</w:t>
      </w:r>
    </w:p>
    <w:p w14:paraId="58DFE499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comprendere il valore delle libertà e l’importanza dei doveri dei cittadini.</w:t>
      </w:r>
    </w:p>
    <w:p w14:paraId="2051B86C" w14:textId="78DDC01B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4.2 Diritti della famiglia e diritti sociali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7A1CBDDB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i principali diritti sociali, le diverse forme familiari, il matrimonio e le forme di celebrazione, la separazione personale e il divorzio, i rapporti tra genitori e figli.</w:t>
      </w:r>
    </w:p>
    <w:p w14:paraId="3BAC645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distinguere i diritti sociali; sapere indicare le diverse forme di celebrazione del matrimonio e individuare i diritti e i doveri di genitori e figli.</w:t>
      </w:r>
    </w:p>
    <w:p w14:paraId="5F92E32E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il valore dei diritti sociali; differenza tra separazione e divorzio; comprendere il significato della responsabilità genitoriale.</w:t>
      </w:r>
    </w:p>
    <w:p w14:paraId="212239A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comprendere l’importanza della famiglia e riconoscere il valore dei diritti sociali.</w:t>
      </w:r>
    </w:p>
    <w:p w14:paraId="390B4CC8" w14:textId="58ACD114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 4.3 Il diritto al lavoro. I diritti economici e politici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018D7192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i diritti dei lavoratori previsti in Costituzione. Conoscere i principali diritti politici e economici disciplinati dalla Costituzione.</w:t>
      </w:r>
    </w:p>
    <w:p w14:paraId="2A4AAA82" w14:textId="766C51EE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individuare i diritti dei lavoratori; identificare le competenze dei sindacati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, 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i principali diritti economici; distinguere i diversi diritti politici.</w:t>
      </w:r>
    </w:p>
    <w:p w14:paraId="0D7C071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riconoscere l’importanza del diritto al lavoro; comprendere il ruolo dei sindacati, sapere individuare i diritti politici.</w:t>
      </w:r>
    </w:p>
    <w:p w14:paraId="6A297FE5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riconoscere l’importanza del diritto al lavoro e comprendere il ruolo dei sindacati.</w:t>
      </w:r>
    </w:p>
    <w:p w14:paraId="551C57A8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3B5BB9E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Economia</w:t>
      </w:r>
    </w:p>
    <w:p w14:paraId="48F8702B" w14:textId="753F44AE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Percorso 1 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>–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FA7BFD">
        <w:rPr>
          <w:rFonts w:asciiTheme="minorHAnsi" w:eastAsia="Calibri" w:hAnsiTheme="minorHAnsi" w:cstheme="minorHAnsi"/>
          <w:b/>
          <w:sz w:val="24"/>
          <w:szCs w:val="24"/>
        </w:rPr>
        <w:t>Fondamenti di economia</w:t>
      </w:r>
      <w:r w:rsidRPr="005F3F23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7DF40EDD" w14:textId="724B0A66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1.1 </w:t>
      </w:r>
      <w:r w:rsidR="00B93033" w:rsidRPr="00B93033">
        <w:rPr>
          <w:rFonts w:asciiTheme="minorHAnsi" w:eastAsia="Calibri" w:hAnsiTheme="minorHAnsi" w:cstheme="minorHAnsi"/>
          <w:b/>
          <w:sz w:val="24"/>
          <w:szCs w:val="24"/>
        </w:rPr>
        <w:t>L’economia politica tra bisogni e scarsità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. </w:t>
      </w:r>
    </w:p>
    <w:p w14:paraId="16EB2E0C" w14:textId="7ACA8C4D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il significato di economia politica; conoscere i bisogni economici e le loro caratteristiche e tipologia; sapere individuare i beni economici e le loro tipologie e requisiti.</w:t>
      </w:r>
    </w:p>
    <w:p w14:paraId="57523C47" w14:textId="2DB1EBCC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sapere distinguere i bisogni economici e le loro caratteristiche e tipologia; sapere distinguere beni economici e le loro tipologie e requisiti.</w:t>
      </w:r>
    </w:p>
    <w:p w14:paraId="08DF594C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le relazioni tra soggetti economici; individuare i tre principali sistemi economici.</w:t>
      </w:r>
    </w:p>
    <w:p w14:paraId="7B71627E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Obiettivi minimi: comprendere la funzione dell’economia e la funzione dei beni economici. </w:t>
      </w:r>
    </w:p>
    <w:p w14:paraId="47DC6A38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6DE3B64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Percorso 2 - I soggetti economici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. </w:t>
      </w:r>
    </w:p>
    <w:p w14:paraId="53D52DD1" w14:textId="477562CE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2.1 </w:t>
      </w:r>
      <w:r w:rsidR="00B93033" w:rsidRPr="00B93033">
        <w:rPr>
          <w:rFonts w:asciiTheme="minorHAnsi" w:eastAsia="Calibri" w:hAnsiTheme="minorHAnsi" w:cstheme="minorHAnsi"/>
          <w:b/>
          <w:sz w:val="24"/>
          <w:szCs w:val="24"/>
        </w:rPr>
        <w:t>L</w:t>
      </w:r>
      <w:r w:rsidRPr="00B93033">
        <w:rPr>
          <w:rFonts w:asciiTheme="minorHAnsi" w:eastAsia="Calibri" w:hAnsiTheme="minorHAnsi" w:cstheme="minorHAnsi"/>
          <w:b/>
          <w:sz w:val="24"/>
          <w:szCs w:val="24"/>
        </w:rPr>
        <w:t>e attività economiche</w:t>
      </w:r>
      <w:r w:rsidR="00B93033" w:rsidRPr="00B93033">
        <w:rPr>
          <w:rFonts w:asciiTheme="minorHAnsi" w:eastAsia="Calibri" w:hAnsiTheme="minorHAnsi" w:cstheme="minorHAnsi"/>
          <w:b/>
          <w:sz w:val="24"/>
          <w:szCs w:val="24"/>
        </w:rPr>
        <w:t xml:space="preserve"> delle famiglie</w:t>
      </w:r>
      <w:r w:rsidRPr="00B93033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344B8B5C" w14:textId="13D7E9E3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la famiglia come soggetto economico; conoscere il concetto di ricchezza, conoscere i concetti di consumo, rispar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m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io e investimento.</w:t>
      </w:r>
    </w:p>
    <w:p w14:paraId="512E197E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individuare i fattori che influenzano consumo, risparmio, investimento.</w:t>
      </w:r>
    </w:p>
    <w:p w14:paraId="7094E524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distinguere tra patrimonio e reddito. Sapere individuare consumo, risparmio e investimento.</w:t>
      </w:r>
    </w:p>
    <w:p w14:paraId="1B278546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comprendere il significato delle attività economiche svolte dalle famiglie.</w:t>
      </w:r>
    </w:p>
    <w:p w14:paraId="5630972F" w14:textId="3FBFB781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2.2 </w:t>
      </w:r>
      <w:r w:rsidR="00B93033">
        <w:rPr>
          <w:rFonts w:asciiTheme="minorHAnsi" w:eastAsia="Calibri" w:hAnsiTheme="minorHAnsi" w:cstheme="minorHAnsi"/>
          <w:b/>
          <w:sz w:val="24"/>
          <w:szCs w:val="24"/>
        </w:rPr>
        <w:t>Le i</w:t>
      </w:r>
      <w:r w:rsidRPr="00B93033">
        <w:rPr>
          <w:rFonts w:asciiTheme="minorHAnsi" w:eastAsia="Calibri" w:hAnsiTheme="minorHAnsi" w:cstheme="minorHAnsi"/>
          <w:b/>
          <w:sz w:val="24"/>
          <w:szCs w:val="24"/>
        </w:rPr>
        <w:t>mprese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2124CE3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Conoscere l’operatore economico impresa. Conoscere i fattori di produzione economica. Conoscere il ruolo del terzo settore.</w:t>
      </w:r>
    </w:p>
    <w:p w14:paraId="1C084CFB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Abilità: riconoscere i fattori produttivi; i diversi settori produttivi; i soggetti del non-profit.</w:t>
      </w:r>
    </w:p>
    <w:p w14:paraId="057DFEB9" w14:textId="6FE30AAA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Competenze: comprendere la composizione della ricchezza nazionale. Comprendere la composizione dei costi di produzione, comprendere 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l’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importanza del non profit.</w:t>
      </w:r>
    </w:p>
    <w:p w14:paraId="4DA1A1E6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Obiettivi minimi: riconoscere i settori produttivi e lo scopo del settore non profit.</w:t>
      </w:r>
    </w:p>
    <w:p w14:paraId="4CCCD237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2.3 </w:t>
      </w:r>
      <w:r w:rsidRPr="00B93033">
        <w:rPr>
          <w:rFonts w:asciiTheme="minorHAnsi" w:eastAsia="Calibri" w:hAnsiTheme="minorHAnsi" w:cstheme="minorHAnsi"/>
          <w:b/>
          <w:sz w:val="24"/>
          <w:szCs w:val="24"/>
        </w:rPr>
        <w:t>Lo Stato e la pubblica amministrazione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68A963C4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Conoscenze: conoscere il ruolo dello Stato in economia, le attività economiche dello Stato; le politiche economiche dello Stato.</w:t>
      </w:r>
    </w:p>
    <w:p w14:paraId="45654399" w14:textId="1A81ACCE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Abilità: sapere individuare i soggetti pubblici che operano in economia; entrate e spese pubbliche; le politiche economiche dello </w:t>
      </w:r>
      <w:r w:rsidR="000B42FA" w:rsidRPr="005F3F23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5F3F23">
        <w:rPr>
          <w:rFonts w:asciiTheme="minorHAnsi" w:eastAsia="Calibri" w:hAnsiTheme="minorHAnsi" w:cstheme="minorHAnsi"/>
          <w:bCs/>
          <w:sz w:val="24"/>
          <w:szCs w:val="24"/>
        </w:rPr>
        <w:t>tato.</w:t>
      </w:r>
    </w:p>
    <w:p w14:paraId="58DF25E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>Competenze: comprendere il ruolo che svolge lo Stato in economia; distinguere le entrate pubbliche; la funzione politica ed economica dello Stato.</w:t>
      </w:r>
    </w:p>
    <w:p w14:paraId="03BE59FA" w14:textId="77777777" w:rsidR="006B1D1C" w:rsidRPr="005F3F23" w:rsidRDefault="006B1D1C" w:rsidP="005F3F2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5F3F23">
        <w:rPr>
          <w:rFonts w:asciiTheme="minorHAnsi" w:eastAsia="Calibri" w:hAnsiTheme="minorHAnsi" w:cstheme="minorHAnsi"/>
          <w:bCs/>
          <w:sz w:val="24"/>
          <w:szCs w:val="24"/>
        </w:rPr>
        <w:t xml:space="preserve">Obiettivi minimi: comprendere la funzione dello Stato in economia. </w:t>
      </w:r>
    </w:p>
    <w:p w14:paraId="68D2BFF2" w14:textId="77777777" w:rsidR="008C38C3" w:rsidRPr="005F3F23" w:rsidRDefault="008C38C3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B0A97DC" w14:textId="77777777" w:rsidR="008C38C3" w:rsidRPr="00FE7084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3. Attività o percorsi didattici concordati nel </w:t>
      </w:r>
      <w:proofErr w:type="spellStart"/>
      <w:r w:rsidRPr="005F3F23">
        <w:rPr>
          <w:rFonts w:asciiTheme="minorHAnsi" w:eastAsia="Calibri" w:hAnsiTheme="minorHAnsi" w:cstheme="minorHAnsi"/>
          <w:b/>
          <w:sz w:val="24"/>
          <w:szCs w:val="24"/>
        </w:rPr>
        <w:t>CdC</w:t>
      </w:r>
      <w:proofErr w:type="spellEnd"/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 a livello interdisciplinare - </w:t>
      </w:r>
      <w:r w:rsidRPr="00FE7084">
        <w:rPr>
          <w:rFonts w:asciiTheme="minorHAnsi" w:eastAsia="Calibri" w:hAnsiTheme="minorHAnsi" w:cstheme="minorHAnsi"/>
          <w:b/>
          <w:sz w:val="24"/>
          <w:szCs w:val="24"/>
        </w:rPr>
        <w:t>Educazione civica</w:t>
      </w:r>
    </w:p>
    <w:p w14:paraId="1070CA70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5F3F23">
        <w:rPr>
          <w:rFonts w:asciiTheme="minorHAnsi" w:eastAsia="Calibri" w:hAnsiTheme="minorHAnsi" w:cstheme="minorHAnsi"/>
          <w:i/>
          <w:sz w:val="24"/>
          <w:szCs w:val="24"/>
        </w:rPr>
        <w:t>(descrizione di conoscenze, abilità e competenze che si intendono raggiungere o sviluppare)</w:t>
      </w:r>
    </w:p>
    <w:p w14:paraId="5A8DCFB9" w14:textId="77777777" w:rsidR="000575CA" w:rsidRPr="0076608E" w:rsidRDefault="000575CA" w:rsidP="000575CA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</w:pPr>
      <w:proofErr w:type="gramStart"/>
      <w:r w:rsidRPr="0076608E">
        <w:rPr>
          <w:rFonts w:ascii="Calibri" w:eastAsia="Calibri" w:hAnsi="Calibri"/>
          <w:sz w:val="24"/>
          <w:szCs w:val="24"/>
          <w:highlight w:val="lightGray"/>
          <w:lang w:eastAsia="en-US"/>
        </w:rPr>
        <w:t>Area</w:t>
      </w:r>
      <w:r w:rsidRPr="0076608E">
        <w:rPr>
          <w:rFonts w:ascii="Calibri" w:eastAsia="Calibri" w:hAnsi="Calibri"/>
          <w:spacing w:val="-4"/>
          <w:sz w:val="24"/>
          <w:szCs w:val="24"/>
          <w:highlight w:val="lightGray"/>
          <w:lang w:eastAsia="en-US"/>
        </w:rPr>
        <w:t xml:space="preserve"> </w:t>
      </w:r>
      <w:r w:rsidRPr="0076608E">
        <w:rPr>
          <w:rFonts w:ascii="Calibri" w:eastAsia="Calibri" w:hAnsi="Calibri"/>
          <w:sz w:val="24"/>
          <w:szCs w:val="24"/>
          <w:highlight w:val="lightGray"/>
          <w:lang w:eastAsia="en-US"/>
        </w:rPr>
        <w:t>:</w:t>
      </w:r>
      <w:proofErr w:type="gramEnd"/>
      <w:r w:rsidRPr="0076608E">
        <w:rPr>
          <w:rFonts w:ascii="Calibri" w:eastAsia="Calibri" w:hAnsi="Calibri"/>
          <w:spacing w:val="-2"/>
          <w:sz w:val="24"/>
          <w:szCs w:val="24"/>
          <w:highlight w:val="lightGray"/>
          <w:lang w:eastAsia="en-US"/>
        </w:rPr>
        <w:t xml:space="preserve"> </w:t>
      </w:r>
      <w:r w:rsidRPr="0076608E">
        <w:rPr>
          <w:rFonts w:ascii="Calibri" w:eastAsia="Calibri" w:hAnsi="Calibri"/>
          <w:spacing w:val="-2"/>
          <w:sz w:val="24"/>
          <w:szCs w:val="24"/>
          <w:highlight w:val="lightGray"/>
          <w:u w:val="single"/>
          <w:lang w:eastAsia="en-US"/>
        </w:rPr>
        <w:t>Cittadinanza Digitale</w:t>
      </w:r>
    </w:p>
    <w:p w14:paraId="0D66BF9B" w14:textId="3BE9E5A9" w:rsidR="000575CA" w:rsidRPr="0076608E" w:rsidRDefault="000575CA" w:rsidP="000575CA">
      <w:pPr>
        <w:widowControl w:val="0"/>
        <w:suppressAutoHyphens w:val="0"/>
        <w:autoSpaceDE w:val="0"/>
        <w:autoSpaceDN w:val="0"/>
        <w:ind w:left="113" w:right="6499"/>
        <w:rPr>
          <w:rFonts w:ascii="Calibri" w:eastAsia="Calibri" w:hAnsi="Calibri"/>
          <w:sz w:val="24"/>
          <w:szCs w:val="24"/>
          <w:u w:val="single"/>
          <w:lang w:eastAsia="en-US"/>
        </w:rPr>
      </w:pPr>
      <w:proofErr w:type="gramStart"/>
      <w:r w:rsidRPr="0076608E"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Tema</w:t>
      </w:r>
      <w:r w:rsidRPr="0076608E">
        <w:rPr>
          <w:rFonts w:ascii="Calibri" w:eastAsia="Calibri" w:hAnsi="Calibri"/>
          <w:spacing w:val="-14"/>
          <w:sz w:val="24"/>
          <w:szCs w:val="24"/>
          <w:highlight w:val="lightGray"/>
          <w:u w:val="single"/>
          <w:lang w:eastAsia="en-US"/>
        </w:rPr>
        <w:t xml:space="preserve"> </w:t>
      </w:r>
      <w:r w:rsidRPr="0076608E"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:</w:t>
      </w:r>
      <w:proofErr w:type="gramEnd"/>
      <w:r w:rsidRPr="0076608E">
        <w:rPr>
          <w:rFonts w:ascii="Calibri" w:eastAsia="Calibri" w:hAnsi="Calibri"/>
          <w:spacing w:val="-14"/>
          <w:sz w:val="24"/>
          <w:szCs w:val="24"/>
          <w:highlight w:val="lightGray"/>
          <w:u w:val="single"/>
          <w:lang w:eastAsia="en-US"/>
        </w:rPr>
        <w:t xml:space="preserve"> </w:t>
      </w:r>
      <w:r w:rsidR="001867BF" w:rsidRPr="0076608E"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L</w:t>
      </w:r>
      <w:r w:rsidRPr="0076608E"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a reputazione on-line Durata : 3 ore</w:t>
      </w:r>
    </w:p>
    <w:p w14:paraId="39D15727" w14:textId="66011B5E" w:rsidR="000575CA" w:rsidRPr="000575CA" w:rsidRDefault="000575CA" w:rsidP="000575CA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</w:t>
      </w:r>
      <w:r w:rsidRPr="000575CA">
        <w:rPr>
          <w:rFonts w:ascii="Calibri" w:eastAsia="Calibri" w:hAnsi="Calibri"/>
          <w:sz w:val="24"/>
          <w:szCs w:val="24"/>
          <w:lang w:eastAsia="en-US"/>
        </w:rPr>
        <w:t>eriodo</w:t>
      </w:r>
      <w:r w:rsidRPr="000575CA">
        <w:rPr>
          <w:rFonts w:ascii="Calibri" w:eastAsia="Calibri" w:hAnsi="Calibri"/>
          <w:spacing w:val="-4"/>
          <w:sz w:val="24"/>
          <w:szCs w:val="24"/>
          <w:lang w:eastAsia="en-US"/>
        </w:rPr>
        <w:t xml:space="preserve"> </w:t>
      </w:r>
      <w:r w:rsidRPr="000575CA">
        <w:rPr>
          <w:rFonts w:ascii="Calibri" w:eastAsia="Calibri" w:hAnsi="Calibri"/>
          <w:sz w:val="24"/>
          <w:szCs w:val="24"/>
          <w:lang w:eastAsia="en-US"/>
        </w:rPr>
        <w:t>di</w:t>
      </w:r>
      <w:r w:rsidRPr="000575CA"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 w:rsidRPr="000575CA">
        <w:rPr>
          <w:rFonts w:ascii="Calibri" w:eastAsia="Calibri" w:hAnsi="Calibri"/>
          <w:sz w:val="24"/>
          <w:szCs w:val="24"/>
          <w:lang w:eastAsia="en-US"/>
        </w:rPr>
        <w:t>svolgimento:</w:t>
      </w:r>
      <w:r w:rsidRPr="000575CA"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 w:rsidRPr="000575CA">
        <w:rPr>
          <w:rFonts w:ascii="Calibri" w:eastAsia="Calibri" w:hAnsi="Calibri"/>
          <w:sz w:val="24"/>
          <w:szCs w:val="24"/>
          <w:lang w:eastAsia="en-US"/>
        </w:rPr>
        <w:t>1</w:t>
      </w:r>
      <w:r w:rsidRPr="000575CA"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 w:rsidRPr="000575CA">
        <w:rPr>
          <w:rFonts w:ascii="Calibri" w:eastAsia="Calibri" w:hAnsi="Calibri"/>
          <w:spacing w:val="-2"/>
          <w:sz w:val="24"/>
          <w:szCs w:val="24"/>
          <w:lang w:eastAsia="en-US"/>
        </w:rPr>
        <w:t>quadrimestre</w:t>
      </w:r>
    </w:p>
    <w:p w14:paraId="74D8270D" w14:textId="364C3117" w:rsidR="0077115C" w:rsidRPr="005F3F23" w:rsidRDefault="0077115C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La disciplina è soggetta a valutazioni e concorre alla determinazione collegiale del voto di comportamento.</w:t>
      </w:r>
      <w:r w:rsidR="00FE708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Per le verifiche di Educazione civica si utilizzano modalità variegate di restituzione ed elaborazione con obiettivo la valorizzazione delle capacità degli studenti: prove scritte, orali, pratiche, di gruppo.</w:t>
      </w:r>
      <w:r w:rsidR="00FE708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I criteri di valutazione esplicitati nel PTOF sono integrati dai seguenti: partecipazione alle attività; rispetto degli impegni; senso di responsabilità nell’affrontare eventuali difficoltà, nello svolgere lavori cooperativi e di gruppo; qualità degli elaborati prodotti e capacità di esporli.</w:t>
      </w:r>
    </w:p>
    <w:p w14:paraId="48E56FDA" w14:textId="77777777" w:rsidR="008C38C3" w:rsidRPr="005F3F23" w:rsidRDefault="008C38C3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500D75D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4. Tipologie di verifica, elaborati ed esercitazioni </w:t>
      </w:r>
    </w:p>
    <w:p w14:paraId="2C52C41B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5F3F23">
        <w:rPr>
          <w:rFonts w:asciiTheme="minorHAnsi" w:eastAsia="Calibri" w:hAnsiTheme="minorHAnsi" w:cstheme="minorHAns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624109AC" w14:textId="289C95B6" w:rsidR="0077115C" w:rsidRPr="005F3F23" w:rsidRDefault="0077115C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 w:rsidRPr="005F3F23">
        <w:rPr>
          <w:rFonts w:asciiTheme="minorHAnsi" w:eastAsia="Calibri" w:hAnsiTheme="minorHAnsi" w:cstheme="minorHAnsi"/>
          <w:iCs/>
          <w:sz w:val="24"/>
          <w:szCs w:val="24"/>
        </w:rPr>
        <w:t xml:space="preserve">Come da programmazione del </w:t>
      </w:r>
      <w:proofErr w:type="spellStart"/>
      <w:r w:rsidR="005F3F23" w:rsidRPr="005F3F23">
        <w:rPr>
          <w:rFonts w:asciiTheme="minorHAnsi" w:eastAsia="Calibri" w:hAnsiTheme="minorHAnsi" w:cstheme="minorHAnsi"/>
          <w:iCs/>
          <w:sz w:val="24"/>
          <w:szCs w:val="24"/>
        </w:rPr>
        <w:t>C</w:t>
      </w:r>
      <w:r w:rsidRPr="005F3F23">
        <w:rPr>
          <w:rFonts w:asciiTheme="minorHAnsi" w:eastAsia="Calibri" w:hAnsiTheme="minorHAnsi" w:cstheme="minorHAnsi"/>
          <w:iCs/>
          <w:sz w:val="24"/>
          <w:szCs w:val="24"/>
        </w:rPr>
        <w:t>dc</w:t>
      </w:r>
      <w:proofErr w:type="spellEnd"/>
      <w:r w:rsidRPr="005F3F23">
        <w:rPr>
          <w:rFonts w:asciiTheme="minorHAnsi" w:eastAsia="Calibri" w:hAnsiTheme="minorHAnsi" w:cstheme="minorHAnsi"/>
          <w:iCs/>
          <w:sz w:val="24"/>
          <w:szCs w:val="24"/>
        </w:rPr>
        <w:t xml:space="preserve">, si prevedono almeno due verifiche ad alunno per quadrimestre. Le verifiche, sia in itinere che sommative, consisteranno soprattutto in interrogazioni orali (ed eventualmente anche in prove scritte prevalentemente a domanda aperta). A queste si aggiungono le esercitazioni a casa </w:t>
      </w:r>
      <w:r w:rsidR="005F3F23" w:rsidRPr="005F3F23">
        <w:rPr>
          <w:rFonts w:asciiTheme="minorHAnsi" w:eastAsia="Calibri" w:hAnsiTheme="minorHAnsi" w:cstheme="minorHAnsi"/>
          <w:iCs/>
          <w:sz w:val="24"/>
          <w:szCs w:val="24"/>
        </w:rPr>
        <w:t xml:space="preserve">prevalentemente </w:t>
      </w:r>
      <w:r w:rsidRPr="005F3F23">
        <w:rPr>
          <w:rFonts w:asciiTheme="minorHAnsi" w:eastAsia="Calibri" w:hAnsiTheme="minorHAnsi" w:cstheme="minorHAnsi"/>
          <w:iCs/>
          <w:sz w:val="24"/>
          <w:szCs w:val="24"/>
        </w:rPr>
        <w:t xml:space="preserve">su prove offerte dal libro di testo. Verifiche a parte sono previste per Educazione civica, con prove scritte o orali, singole o di gruppo, in classe o a casa (v. sopra). </w:t>
      </w:r>
    </w:p>
    <w:p w14:paraId="741CF19C" w14:textId="77777777" w:rsidR="0077115C" w:rsidRPr="005F3F23" w:rsidRDefault="0077115C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BA8199F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>5. Criteri per le valutazioni</w:t>
      </w:r>
      <w:r w:rsidRPr="005F3F23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AEBE909" w14:textId="22ECF7FC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5F3F23">
        <w:rPr>
          <w:rFonts w:asciiTheme="minorHAnsi" w:eastAsia="Calibri" w:hAnsiTheme="minorHAnsi" w:cstheme="minorHAnsi"/>
          <w:i/>
          <w:sz w:val="24"/>
          <w:szCs w:val="24"/>
        </w:rPr>
        <w:t>(fare riferimento a tutti i criteri di valutazione deliberati nel P</w:t>
      </w:r>
      <w:r w:rsidR="00FE7084">
        <w:rPr>
          <w:rFonts w:asciiTheme="minorHAnsi" w:eastAsia="Calibri" w:hAnsiTheme="minorHAnsi" w:cstheme="minorHAnsi"/>
          <w:i/>
          <w:sz w:val="24"/>
          <w:szCs w:val="24"/>
        </w:rPr>
        <w:t>TOF</w:t>
      </w:r>
      <w:r w:rsidRPr="005F3F23">
        <w:rPr>
          <w:rFonts w:asciiTheme="minorHAnsi" w:eastAsia="Calibri" w:hAnsiTheme="minorHAnsi" w:cstheme="minorHAns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2E3F9CA6" w14:textId="77777777" w:rsidR="0077115C" w:rsidRPr="005F3F23" w:rsidRDefault="0077115C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hAnsiTheme="minorHAnsi" w:cstheme="minorHAnsi"/>
          <w:sz w:val="24"/>
          <w:szCs w:val="24"/>
        </w:rPr>
        <w:t>Per le valutazioni ci si attiene ai criteri indicati nel PTOF e si tiene conto dei descrittori relativi a comprensione, conoscenza, capacità di analisi, sintesi, di giudizio, capacità di collegare conoscenze, correttezza terminologica.</w:t>
      </w:r>
    </w:p>
    <w:p w14:paraId="159C3BC7" w14:textId="77777777" w:rsidR="008C38C3" w:rsidRPr="005F3F23" w:rsidRDefault="008C38C3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CF0229D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5F3F23">
        <w:rPr>
          <w:rFonts w:asciiTheme="minorHAnsi" w:eastAsia="Calibri" w:hAnsiTheme="minorHAnsi" w:cstheme="minorHAnsi"/>
          <w:b/>
          <w:sz w:val="24"/>
          <w:szCs w:val="24"/>
        </w:rPr>
        <w:t xml:space="preserve">6. Metodi e strategie didattiche </w:t>
      </w:r>
    </w:p>
    <w:p w14:paraId="436C98C8" w14:textId="77777777" w:rsidR="008C38C3" w:rsidRPr="005F3F23" w:rsidRDefault="00000000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5F3F23">
        <w:rPr>
          <w:rFonts w:asciiTheme="minorHAnsi" w:eastAsia="Calibri" w:hAnsiTheme="minorHAnsi" w:cstheme="minorHAns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2A0E399C" w14:textId="0C2AA2B1" w:rsidR="002C20A1" w:rsidRPr="005F3F23" w:rsidRDefault="0077115C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3F23">
        <w:rPr>
          <w:rFonts w:asciiTheme="minorHAnsi" w:hAnsiTheme="minorHAnsi" w:cstheme="minorHAnsi"/>
          <w:sz w:val="24"/>
          <w:szCs w:val="24"/>
        </w:rPr>
        <w:t xml:space="preserve">Dal punto di vista metodologico, verranno messe in atto strategie per una didattica partecipata ed inclusiva: la lezione frontale; la lezione partecipata, la discussione guidata; l’acquisizione di un metodo di studio autonomo; le attività di brainstorming; il cooperative learning; il </w:t>
      </w:r>
      <w:proofErr w:type="spellStart"/>
      <w:r w:rsidRPr="005F3F23">
        <w:rPr>
          <w:rFonts w:asciiTheme="minorHAnsi" w:hAnsiTheme="minorHAnsi" w:cstheme="minorHAnsi"/>
          <w:sz w:val="24"/>
          <w:szCs w:val="24"/>
        </w:rPr>
        <w:t>problem</w:t>
      </w:r>
      <w:proofErr w:type="spellEnd"/>
      <w:r w:rsidRPr="005F3F23">
        <w:rPr>
          <w:rFonts w:asciiTheme="minorHAnsi" w:hAnsiTheme="minorHAnsi" w:cstheme="minorHAnsi"/>
          <w:sz w:val="24"/>
          <w:szCs w:val="24"/>
        </w:rPr>
        <w:t xml:space="preserve"> solving</w:t>
      </w:r>
      <w:r w:rsidR="005F3F23" w:rsidRPr="005F3F23">
        <w:rPr>
          <w:rFonts w:asciiTheme="minorHAnsi" w:hAnsiTheme="minorHAnsi" w:cstheme="minorHAnsi"/>
          <w:sz w:val="24"/>
          <w:szCs w:val="24"/>
        </w:rPr>
        <w:t>.</w:t>
      </w:r>
      <w:r w:rsidRPr="005F3F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904F7B" w14:textId="6879791F" w:rsidR="0077115C" w:rsidRPr="003C39EA" w:rsidRDefault="002C20A1" w:rsidP="005F3F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Si </w:t>
      </w:r>
      <w:r w:rsidR="005F3F23"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cercherà 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>di coinvolgere la classe p</w:t>
      </w:r>
      <w:r w:rsidR="005F3F23"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roponendo casi 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>concret</w:t>
      </w:r>
      <w:r w:rsidR="005F3F23" w:rsidRPr="003C39EA">
        <w:rPr>
          <w:rFonts w:asciiTheme="minorHAnsi" w:eastAsia="Calibri" w:hAnsiTheme="minorHAnsi" w:cstheme="minorHAnsi"/>
          <w:iCs/>
          <w:sz w:val="24"/>
          <w:szCs w:val="24"/>
        </w:rPr>
        <w:t>i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 </w:t>
      </w:r>
      <w:r w:rsidR="005F3F23"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e 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>attuali</w:t>
      </w:r>
      <w:r w:rsidR="008212F4">
        <w:rPr>
          <w:rFonts w:asciiTheme="minorHAnsi" w:eastAsia="Calibri" w:hAnsiTheme="minorHAnsi" w:cstheme="minorHAnsi"/>
          <w:iCs/>
          <w:sz w:val="24"/>
          <w:szCs w:val="24"/>
        </w:rPr>
        <w:t>,</w:t>
      </w:r>
      <w:r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 per </w:t>
      </w:r>
      <w:r w:rsidR="005F3F23" w:rsidRPr="003C39EA">
        <w:rPr>
          <w:rFonts w:asciiTheme="minorHAnsi" w:eastAsia="Calibri" w:hAnsiTheme="minorHAnsi" w:cstheme="minorHAnsi"/>
          <w:iCs/>
          <w:sz w:val="24"/>
          <w:szCs w:val="24"/>
        </w:rPr>
        <w:t xml:space="preserve">analizzarli insieme e ricondurli agli argomenti </w:t>
      </w:r>
      <w:r w:rsidR="008212F4">
        <w:rPr>
          <w:rFonts w:asciiTheme="minorHAnsi" w:eastAsia="Calibri" w:hAnsiTheme="minorHAnsi" w:cstheme="minorHAnsi"/>
          <w:iCs/>
          <w:sz w:val="24"/>
          <w:szCs w:val="24"/>
        </w:rPr>
        <w:t xml:space="preserve">e </w:t>
      </w:r>
      <w:r w:rsidR="005F3F23" w:rsidRPr="003C39EA">
        <w:rPr>
          <w:rFonts w:asciiTheme="minorHAnsi" w:eastAsia="Calibri" w:hAnsiTheme="minorHAnsi" w:cstheme="minorHAnsi"/>
          <w:iCs/>
          <w:sz w:val="24"/>
          <w:szCs w:val="24"/>
        </w:rPr>
        <w:t>concetti generali che si vogliono trattare</w:t>
      </w:r>
    </w:p>
    <w:p w14:paraId="4C234754" w14:textId="77777777" w:rsidR="008C38C3" w:rsidRPr="005F3F23" w:rsidRDefault="008C38C3" w:rsidP="005F3F2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7B187FF" w14:textId="36AB51B8" w:rsidR="00FE7084" w:rsidRPr="00FE7084" w:rsidRDefault="00000000" w:rsidP="005F3F2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Pisa</w:t>
      </w:r>
      <w:r w:rsidR="00614AB9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FE7084" w:rsidRPr="00FE7084">
        <w:rPr>
          <w:rFonts w:asciiTheme="minorHAnsi" w:eastAsia="Calibri" w:hAnsiTheme="minorHAnsi" w:cstheme="minorHAnsi"/>
          <w:sz w:val="24"/>
          <w:szCs w:val="24"/>
        </w:rPr>
        <w:t>1</w:t>
      </w:r>
      <w:r w:rsidR="001867BF">
        <w:rPr>
          <w:rFonts w:asciiTheme="minorHAnsi" w:eastAsia="Calibri" w:hAnsiTheme="minorHAnsi" w:cstheme="minorHAnsi"/>
          <w:sz w:val="24"/>
          <w:szCs w:val="24"/>
        </w:rPr>
        <w:t>8</w:t>
      </w:r>
      <w:r w:rsidR="00614AB9" w:rsidRPr="00FE7084">
        <w:rPr>
          <w:rFonts w:asciiTheme="minorHAnsi" w:eastAsia="Calibri" w:hAnsiTheme="minorHAnsi" w:cstheme="minorHAnsi"/>
          <w:sz w:val="24"/>
          <w:szCs w:val="24"/>
        </w:rPr>
        <w:t xml:space="preserve"> novembre 202</w:t>
      </w:r>
      <w:r w:rsidR="00FE7084" w:rsidRPr="00FE7084">
        <w:rPr>
          <w:rFonts w:asciiTheme="minorHAnsi" w:eastAsia="Calibri" w:hAnsiTheme="minorHAnsi" w:cstheme="minorHAnsi"/>
          <w:sz w:val="24"/>
          <w:szCs w:val="24"/>
        </w:rPr>
        <w:t>4</w:t>
      </w:r>
      <w:r w:rsidRPr="00FE7084">
        <w:rPr>
          <w:rFonts w:asciiTheme="minorHAnsi" w:eastAsia="Calibri" w:hAnsiTheme="minorHAnsi" w:cstheme="minorHAnsi"/>
          <w:sz w:val="24"/>
          <w:szCs w:val="24"/>
        </w:rPr>
        <w:t xml:space="preserve">                            </w:t>
      </w:r>
      <w:r w:rsidR="00FE7084" w:rsidRPr="00FE7084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   </w:t>
      </w:r>
      <w:r w:rsidR="00614AB9" w:rsidRPr="00FE7084">
        <w:rPr>
          <w:rFonts w:asciiTheme="minorHAnsi" w:eastAsia="Calibri" w:hAnsiTheme="minorHAnsi" w:cstheme="minorHAnsi"/>
          <w:sz w:val="24"/>
          <w:szCs w:val="24"/>
        </w:rPr>
        <w:t>La</w:t>
      </w:r>
      <w:r w:rsidRPr="00FE7084">
        <w:rPr>
          <w:rFonts w:asciiTheme="minorHAnsi" w:eastAsia="Calibri" w:hAnsiTheme="minorHAnsi" w:cstheme="minorHAnsi"/>
          <w:sz w:val="24"/>
          <w:szCs w:val="24"/>
        </w:rPr>
        <w:t xml:space="preserve"> docente</w:t>
      </w:r>
    </w:p>
    <w:p w14:paraId="007437B0" w14:textId="2A1F2CD8" w:rsidR="008C38C3" w:rsidRPr="00FE7084" w:rsidRDefault="00614AB9" w:rsidP="005F3F2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E708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E7084" w:rsidRPr="00FE7084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E7084">
        <w:rPr>
          <w:rFonts w:asciiTheme="minorHAnsi" w:eastAsia="Calibri" w:hAnsiTheme="minorHAnsi" w:cstheme="minorHAnsi"/>
          <w:sz w:val="24"/>
          <w:szCs w:val="24"/>
        </w:rPr>
        <w:t>Prof.</w:t>
      </w:r>
      <w:r w:rsidR="00FE7084" w:rsidRPr="00FE7084">
        <w:rPr>
          <w:rFonts w:asciiTheme="minorHAnsi" w:eastAsia="Calibri" w:hAnsiTheme="minorHAnsi" w:cstheme="minorHAnsi"/>
          <w:sz w:val="24"/>
          <w:szCs w:val="24"/>
        </w:rPr>
        <w:t>ssa Torchia Claudia</w:t>
      </w:r>
    </w:p>
    <w:sectPr w:rsidR="008C38C3" w:rsidRPr="00FE7084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panose1 w:val="020B06060202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C4311"/>
    <w:multiLevelType w:val="multilevel"/>
    <w:tmpl w:val="2938B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586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C3"/>
    <w:rsid w:val="000575CA"/>
    <w:rsid w:val="000B42FA"/>
    <w:rsid w:val="001027DE"/>
    <w:rsid w:val="001867BF"/>
    <w:rsid w:val="00251AD6"/>
    <w:rsid w:val="00287E3B"/>
    <w:rsid w:val="002C1FC5"/>
    <w:rsid w:val="002C20A1"/>
    <w:rsid w:val="003C39EA"/>
    <w:rsid w:val="003D75BD"/>
    <w:rsid w:val="00562413"/>
    <w:rsid w:val="005C3915"/>
    <w:rsid w:val="005F3F23"/>
    <w:rsid w:val="00614AB9"/>
    <w:rsid w:val="006461F7"/>
    <w:rsid w:val="00697709"/>
    <w:rsid w:val="006B1D1C"/>
    <w:rsid w:val="0076608E"/>
    <w:rsid w:val="0077115C"/>
    <w:rsid w:val="00803F1F"/>
    <w:rsid w:val="008212F4"/>
    <w:rsid w:val="008C38C3"/>
    <w:rsid w:val="008E060D"/>
    <w:rsid w:val="00901EE4"/>
    <w:rsid w:val="0099619D"/>
    <w:rsid w:val="00A407BF"/>
    <w:rsid w:val="00B93033"/>
    <w:rsid w:val="00B94723"/>
    <w:rsid w:val="00C13C0F"/>
    <w:rsid w:val="00CC24A5"/>
    <w:rsid w:val="00D93113"/>
    <w:rsid w:val="00DF5672"/>
    <w:rsid w:val="00E87025"/>
    <w:rsid w:val="00F63521"/>
    <w:rsid w:val="00F8419D"/>
    <w:rsid w:val="00FA7BF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B930"/>
  <w15:docId w15:val="{4A11CEBC-669B-420C-BF75-C55767D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fiber</dc:creator>
  <cp:lastModifiedBy>Claudia Torchia</cp:lastModifiedBy>
  <cp:revision>12</cp:revision>
  <dcterms:created xsi:type="dcterms:W3CDTF">2024-11-04T08:46:00Z</dcterms:created>
  <dcterms:modified xsi:type="dcterms:W3CDTF">2024-11-18T10:42:00Z</dcterms:modified>
</cp:coreProperties>
</file>